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141E" w14:textId="4D7E3436" w:rsidR="00870631" w:rsidRDefault="006D5D73" w:rsidP="009A33C7">
      <w:pPr>
        <w:jc w:val="center"/>
        <w:rPr>
          <w:b/>
          <w:bCs/>
        </w:rPr>
      </w:pPr>
      <w:bookmarkStart w:id="0" w:name="_Hlk134109748"/>
      <w:r>
        <w:rPr>
          <w:b/>
          <w:bCs/>
        </w:rPr>
        <w:t>Region IV Byla</w:t>
      </w:r>
      <w:r w:rsidR="0041247C">
        <w:rPr>
          <w:b/>
          <w:bCs/>
        </w:rPr>
        <w:t>ws Committee Recommendation Regarding</w:t>
      </w:r>
      <w:r w:rsidR="00504D99">
        <w:rPr>
          <w:b/>
          <w:bCs/>
        </w:rPr>
        <w:t xml:space="preserve"> </w:t>
      </w:r>
      <w:r w:rsidR="00870631">
        <w:rPr>
          <w:b/>
          <w:bCs/>
        </w:rPr>
        <w:t>Proposed Amendment of</w:t>
      </w:r>
      <w:r w:rsidR="00722BF9" w:rsidRPr="009A33C7">
        <w:rPr>
          <w:b/>
          <w:bCs/>
        </w:rPr>
        <w:t xml:space="preserve"> </w:t>
      </w:r>
    </w:p>
    <w:bookmarkEnd w:id="0"/>
    <w:p w14:paraId="207A67E3" w14:textId="5D82CEF2" w:rsidR="00870631" w:rsidRDefault="00722BF9" w:rsidP="009A33C7">
      <w:pPr>
        <w:jc w:val="center"/>
        <w:rPr>
          <w:b/>
          <w:bCs/>
        </w:rPr>
      </w:pPr>
      <w:r w:rsidRPr="009A33C7">
        <w:rPr>
          <w:b/>
          <w:bCs/>
        </w:rPr>
        <w:t>Article</w:t>
      </w:r>
      <w:r w:rsidR="00957269">
        <w:rPr>
          <w:b/>
          <w:bCs/>
        </w:rPr>
        <w:t xml:space="preserve"> IX</w:t>
      </w:r>
      <w:r w:rsidRPr="009A33C7">
        <w:rPr>
          <w:b/>
          <w:bCs/>
        </w:rPr>
        <w:t xml:space="preserve">, Section 6 </w:t>
      </w:r>
    </w:p>
    <w:p w14:paraId="05842017" w14:textId="61E00772" w:rsidR="00FF3384" w:rsidRPr="009A33C7" w:rsidRDefault="00870631" w:rsidP="009A33C7">
      <w:pPr>
        <w:jc w:val="center"/>
        <w:rPr>
          <w:b/>
          <w:bCs/>
        </w:rPr>
      </w:pPr>
      <w:r>
        <w:rPr>
          <w:b/>
          <w:bCs/>
        </w:rPr>
        <w:t>(</w:t>
      </w:r>
      <w:r w:rsidR="003E14A4">
        <w:rPr>
          <w:b/>
          <w:bCs/>
        </w:rPr>
        <w:t xml:space="preserve">Recommendation: Bylaws </w:t>
      </w:r>
      <w:r w:rsidR="00722BF9" w:rsidRPr="009A33C7">
        <w:rPr>
          <w:b/>
          <w:bCs/>
        </w:rPr>
        <w:t>Remain Unchanged</w:t>
      </w:r>
      <w:r>
        <w:rPr>
          <w:b/>
          <w:bCs/>
        </w:rPr>
        <w:t>)</w:t>
      </w:r>
    </w:p>
    <w:p w14:paraId="4FAC1D53" w14:textId="63DCCDAF" w:rsidR="00870631" w:rsidRDefault="00870631">
      <w:r>
        <w:t xml:space="preserve">This is </w:t>
      </w:r>
      <w:r w:rsidR="0086062A">
        <w:t>the</w:t>
      </w:r>
      <w:r>
        <w:t xml:space="preserve"> same proposed amendment that was considered at the Fall 2022 Region IV Council meeting where the council did not approve the amendment. The justification that was provided by the Executive Committee is shown below.</w:t>
      </w:r>
    </w:p>
    <w:p w14:paraId="7B582CF2" w14:textId="7AF2CCEA" w:rsidR="00722BF9" w:rsidRDefault="00722BF9">
      <w:r>
        <w:t xml:space="preserve">According </w:t>
      </w:r>
      <w:r w:rsidR="00AB3736">
        <w:t>to RONR, 12 Edition:</w:t>
      </w:r>
    </w:p>
    <w:p w14:paraId="091E1E11" w14:textId="7130B53F" w:rsidR="009A33C7" w:rsidRDefault="004755F4">
      <w:r>
        <w:t>Chapter XVIII</w:t>
      </w:r>
      <w:r w:rsidR="009A33C7">
        <w:t xml:space="preserve"> speaks to </w:t>
      </w:r>
      <w:r>
        <w:t>CONTENT AND COMPOSITION OF BYLAWS</w:t>
      </w:r>
    </w:p>
    <w:p w14:paraId="5E4960F7" w14:textId="77777777" w:rsidR="0089450C" w:rsidRDefault="0089450C" w:rsidP="004755F4">
      <w:pPr>
        <w:pStyle w:val="ListParagraph"/>
        <w:numPr>
          <w:ilvl w:val="0"/>
          <w:numId w:val="1"/>
        </w:numPr>
      </w:pPr>
      <w:r>
        <w:t>56:44 “…A separate section devoted to each of these committees should give its name, composition, manner of selection, and duties.”</w:t>
      </w:r>
    </w:p>
    <w:p w14:paraId="291AD7CD" w14:textId="2C1F05D6" w:rsidR="00AB3736" w:rsidRDefault="00AB3736" w:rsidP="004755F4">
      <w:pPr>
        <w:pStyle w:val="ListParagraph"/>
        <w:numPr>
          <w:ilvl w:val="0"/>
          <w:numId w:val="1"/>
        </w:numPr>
      </w:pPr>
      <w:r>
        <w:t xml:space="preserve">56:8 </w:t>
      </w:r>
      <w:r w:rsidR="009A33C7">
        <w:t>“</w:t>
      </w:r>
      <w:r>
        <w:t>In order to give the organization the greatest freedom to act</w:t>
      </w:r>
      <w:r w:rsidR="00B50341">
        <w:t xml:space="preserve"> within its object, bylaws should be made no more restrictive nor more detailed in specification</w:t>
      </w:r>
      <w:r w:rsidR="009A33C7">
        <w:t xml:space="preserve"> than necessary.”</w:t>
      </w:r>
    </w:p>
    <w:p w14:paraId="1C389D29" w14:textId="269477E7" w:rsidR="009A33C7" w:rsidRDefault="009A33C7" w:rsidP="004755F4">
      <w:pPr>
        <w:pStyle w:val="ListParagraph"/>
        <w:numPr>
          <w:ilvl w:val="0"/>
          <w:numId w:val="1"/>
        </w:numPr>
      </w:pPr>
      <w:r>
        <w:t xml:space="preserve">56:11 “Indisputability of meaning and application is </w:t>
      </w:r>
      <w:r w:rsidR="00957269">
        <w:t xml:space="preserve">a more important consideration than “readability,” and the latter must be sacrificed when both cannot be achieved.” </w:t>
      </w:r>
    </w:p>
    <w:p w14:paraId="28C89889" w14:textId="6AC81A2D" w:rsidR="00411DD2" w:rsidRDefault="00411DD2">
      <w:pPr>
        <w:pBdr>
          <w:bottom w:val="single" w:sz="12" w:space="1" w:color="auto"/>
        </w:pBdr>
      </w:pPr>
      <w:r>
        <w:t xml:space="preserve">We all know the status of all chapters when reports are received from the Regional Assistant Treasurer, </w:t>
      </w:r>
      <w:r w:rsidR="004755F4">
        <w:t>Regional</w:t>
      </w:r>
      <w:r w:rsidR="00A837F1">
        <w:t xml:space="preserve"> </w:t>
      </w:r>
      <w:r>
        <w:t xml:space="preserve">Treasurer and Region Council President. Contacting the chapter to aid in becoming or </w:t>
      </w:r>
      <w:r w:rsidR="004755F4">
        <w:t>remaining compliant</w:t>
      </w:r>
      <w:r>
        <w:t xml:space="preserve"> </w:t>
      </w:r>
      <w:r w:rsidR="00167C15">
        <w:t>is an implied</w:t>
      </w:r>
      <w:r>
        <w:t xml:space="preserve"> responsibility and dut</w:t>
      </w:r>
      <w:r w:rsidR="00167C15">
        <w:t>y</w:t>
      </w:r>
      <w:r>
        <w:t xml:space="preserve"> of the Region Council President and Regional Director</w:t>
      </w:r>
      <w:r w:rsidR="0058200D">
        <w:t>s</w:t>
      </w:r>
      <w:r>
        <w:t>.</w:t>
      </w:r>
    </w:p>
    <w:p w14:paraId="1572D1F7" w14:textId="77777777" w:rsidR="00E54162" w:rsidRDefault="00E54162">
      <w:pPr>
        <w:pBdr>
          <w:bottom w:val="single" w:sz="12" w:space="1" w:color="auto"/>
        </w:pBdr>
      </w:pPr>
    </w:p>
    <w:p w14:paraId="706B377E" w14:textId="77777777" w:rsidR="00E54162" w:rsidRDefault="00E54162"/>
    <w:p w14:paraId="3BE39FC1" w14:textId="77777777" w:rsidR="002E3CE5" w:rsidRDefault="002E3CE5" w:rsidP="002E3CE5">
      <w:pPr>
        <w:jc w:val="center"/>
        <w:rPr>
          <w:b/>
          <w:bCs/>
        </w:rPr>
      </w:pPr>
      <w:r>
        <w:rPr>
          <w:b/>
          <w:bCs/>
        </w:rPr>
        <w:t>Region IV Bylaws Committee Recommendation Regarding Proposed Amendment of</w:t>
      </w:r>
      <w:r w:rsidRPr="009A33C7">
        <w:rPr>
          <w:b/>
          <w:bCs/>
        </w:rPr>
        <w:t xml:space="preserve"> </w:t>
      </w:r>
    </w:p>
    <w:p w14:paraId="62AB816C" w14:textId="55ABD59C" w:rsidR="009A33C7" w:rsidRDefault="00E2632D" w:rsidP="00E2632D">
      <w:pPr>
        <w:jc w:val="center"/>
        <w:rPr>
          <w:b/>
          <w:bCs/>
        </w:rPr>
      </w:pPr>
      <w:r w:rsidRPr="00E2632D">
        <w:rPr>
          <w:b/>
          <w:bCs/>
        </w:rPr>
        <w:t>Article IX, Section 8</w:t>
      </w:r>
    </w:p>
    <w:p w14:paraId="4CE6FF3B" w14:textId="396D2237" w:rsidR="003519D3" w:rsidRDefault="003519D3" w:rsidP="003519D3">
      <w:pPr>
        <w:jc w:val="center"/>
        <w:rPr>
          <w:b/>
          <w:bCs/>
        </w:rPr>
      </w:pPr>
      <w:r>
        <w:rPr>
          <w:b/>
          <w:bCs/>
        </w:rPr>
        <w:t>(</w:t>
      </w:r>
      <w:r w:rsidR="006A55A1">
        <w:rPr>
          <w:b/>
          <w:bCs/>
        </w:rPr>
        <w:t>Recommendation: Bylaws</w:t>
      </w:r>
      <w:r w:rsidR="006B1CE3">
        <w:rPr>
          <w:b/>
          <w:bCs/>
        </w:rPr>
        <w:t xml:space="preserve"> Remain</w:t>
      </w:r>
      <w:r w:rsidR="00C2141F">
        <w:rPr>
          <w:b/>
          <w:bCs/>
        </w:rPr>
        <w:t xml:space="preserve"> </w:t>
      </w:r>
      <w:r>
        <w:rPr>
          <w:b/>
          <w:bCs/>
        </w:rPr>
        <w:t>Unchanged)</w:t>
      </w:r>
    </w:p>
    <w:p w14:paraId="251B4513" w14:textId="2B356B5E" w:rsidR="00FE0CE2" w:rsidRDefault="003519D3" w:rsidP="002A44E8">
      <w:pPr>
        <w:pStyle w:val="ListParagraph"/>
        <w:numPr>
          <w:ilvl w:val="0"/>
          <w:numId w:val="2"/>
        </w:numPr>
      </w:pPr>
      <w:r w:rsidRPr="003519D3">
        <w:t>As previously stated</w:t>
      </w:r>
      <w:r>
        <w:t xml:space="preserve">, “In order to give the organization the greatest freedom to act within its object, bylaws should be made no more restrictive nor more detailed in specification than </w:t>
      </w:r>
      <w:r w:rsidR="00272876">
        <w:t>necessary.” (</w:t>
      </w:r>
      <w:r>
        <w:t xml:space="preserve">RONR 56:8). The Region IV bylaws should not </w:t>
      </w:r>
      <w:r w:rsidR="00B93544">
        <w:t>be so</w:t>
      </w:r>
      <w:r>
        <w:t xml:space="preserve"> specific. Government documents and even agencies names change over time and we should not be required to amend Region IV documents when a specified</w:t>
      </w:r>
      <w:r w:rsidR="00247F59">
        <w:t xml:space="preserve">, </w:t>
      </w:r>
      <w:r w:rsidR="008F4006">
        <w:t>specifically titled</w:t>
      </w:r>
      <w:r>
        <w:t xml:space="preserve"> government document is amended, </w:t>
      </w:r>
      <w:r w:rsidR="00553EAA">
        <w:t>revised,</w:t>
      </w:r>
      <w:r>
        <w:t xml:space="preserve"> or obsoleted.</w:t>
      </w:r>
      <w:r w:rsidR="00343DCF">
        <w:t xml:space="preserve"> </w:t>
      </w:r>
      <w:r w:rsidR="008531D5">
        <w:t>While the knowledge</w:t>
      </w:r>
      <w:r w:rsidR="00D76471">
        <w:t xml:space="preserve"> and wording of the proposed amendment seems impressive, b</w:t>
      </w:r>
      <w:r w:rsidR="00343DCF">
        <w:t xml:space="preserve">ylaws should not be used to </w:t>
      </w:r>
      <w:r w:rsidR="008531D5">
        <w:t xml:space="preserve">micromanage the members </w:t>
      </w:r>
      <w:r w:rsidR="002915EE">
        <w:t xml:space="preserve">of the organization </w:t>
      </w:r>
      <w:r w:rsidR="008531D5">
        <w:t xml:space="preserve">or its </w:t>
      </w:r>
      <w:r w:rsidR="009D30E7">
        <w:t>committees.</w:t>
      </w:r>
      <w:r w:rsidR="009403D8">
        <w:t xml:space="preserve"> </w:t>
      </w:r>
    </w:p>
    <w:p w14:paraId="5F7CDE3F" w14:textId="77777777" w:rsidR="000525C5" w:rsidRDefault="000525C5" w:rsidP="000525C5">
      <w:pPr>
        <w:pStyle w:val="ListParagraph"/>
      </w:pPr>
    </w:p>
    <w:p w14:paraId="1672598D" w14:textId="31EA10DC" w:rsidR="00832485" w:rsidRDefault="000B4B13" w:rsidP="000525C5">
      <w:pPr>
        <w:pStyle w:val="ListParagraph"/>
        <w:numPr>
          <w:ilvl w:val="0"/>
          <w:numId w:val="2"/>
        </w:numPr>
      </w:pPr>
      <w:r>
        <w:lastRenderedPageBreak/>
        <w:t xml:space="preserve">The AE/EEO committee is a standing </w:t>
      </w:r>
      <w:r w:rsidR="0003436D">
        <w:t>committee as stated in the Region IV bylaws</w:t>
      </w:r>
      <w:r w:rsidR="00C05367">
        <w:t xml:space="preserve">. Standing committees are distinguished </w:t>
      </w:r>
      <w:r w:rsidR="00BC120B">
        <w:t>at RONR</w:t>
      </w:r>
      <w:r w:rsidR="003C7781">
        <w:t xml:space="preserve"> 50:7 as</w:t>
      </w:r>
      <w:r w:rsidR="00456014">
        <w:t>:</w:t>
      </w:r>
    </w:p>
    <w:p w14:paraId="6A32E9FF" w14:textId="77777777" w:rsidR="00A9704F" w:rsidRDefault="00A9704F" w:rsidP="008C00B0">
      <w:pPr>
        <w:pStyle w:val="ListParagraph"/>
      </w:pPr>
    </w:p>
    <w:p w14:paraId="329FF33A" w14:textId="78C19539" w:rsidR="00456014" w:rsidRDefault="00310027" w:rsidP="006912E5">
      <w:pPr>
        <w:pStyle w:val="ListParagraph"/>
        <w:numPr>
          <w:ilvl w:val="0"/>
          <w:numId w:val="3"/>
        </w:numPr>
      </w:pPr>
      <w:r>
        <w:t>h</w:t>
      </w:r>
      <w:r w:rsidR="00456014">
        <w:t xml:space="preserve">aving </w:t>
      </w:r>
      <w:r w:rsidR="00B26754">
        <w:t>standing authority to act for the society</w:t>
      </w:r>
      <w:r w:rsidR="00C53DD2">
        <w:t xml:space="preserve"> on matters of a certain class without </w:t>
      </w:r>
      <w:r w:rsidR="00524A4A">
        <w:t>specific instructions from the assembly;</w:t>
      </w:r>
      <w:r w:rsidR="000525C5">
        <w:t xml:space="preserve"> and</w:t>
      </w:r>
    </w:p>
    <w:p w14:paraId="7EC48672" w14:textId="77777777" w:rsidR="006912E5" w:rsidRDefault="006912E5" w:rsidP="006912E5">
      <w:pPr>
        <w:pStyle w:val="ListParagraph"/>
        <w:ind w:left="2160"/>
      </w:pPr>
    </w:p>
    <w:p w14:paraId="44BA1803" w14:textId="06C0A689" w:rsidR="00310027" w:rsidRDefault="00310027" w:rsidP="00310027">
      <w:pPr>
        <w:pStyle w:val="ListParagraph"/>
        <w:numPr>
          <w:ilvl w:val="0"/>
          <w:numId w:val="3"/>
        </w:numPr>
      </w:pPr>
      <w:r>
        <w:t>h</w:t>
      </w:r>
      <w:r w:rsidR="001E0270">
        <w:t xml:space="preserve">aving all business </w:t>
      </w:r>
      <w:r w:rsidR="00D2292D">
        <w:t xml:space="preserve">of a certain class automatically assigned </w:t>
      </w:r>
      <w:r w:rsidR="0033513A">
        <w:t>t</w:t>
      </w:r>
      <w:r w:rsidR="00D2292D">
        <w:t xml:space="preserve">o </w:t>
      </w:r>
      <w:r w:rsidR="0033513A">
        <w:t>the committee;</w:t>
      </w:r>
    </w:p>
    <w:p w14:paraId="22A78460" w14:textId="77777777" w:rsidR="008776E5" w:rsidRDefault="008776E5" w:rsidP="008776E5">
      <w:pPr>
        <w:pStyle w:val="ListParagraph"/>
      </w:pPr>
    </w:p>
    <w:p w14:paraId="091C6DA8" w14:textId="77777777" w:rsidR="008776E5" w:rsidRDefault="008776E5" w:rsidP="008776E5">
      <w:pPr>
        <w:pStyle w:val="ListParagraph"/>
        <w:ind w:left="2160"/>
      </w:pPr>
    </w:p>
    <w:p w14:paraId="3426A7A9" w14:textId="19E06402" w:rsidR="008C00B0" w:rsidRDefault="00D31E1D" w:rsidP="00772B97">
      <w:pPr>
        <w:ind w:left="720"/>
      </w:pPr>
      <w:r>
        <w:t xml:space="preserve">There is no need </w:t>
      </w:r>
      <w:r w:rsidR="00ED3A1F">
        <w:t>to require</w:t>
      </w:r>
      <w:r>
        <w:t xml:space="preserve"> sp</w:t>
      </w:r>
      <w:r w:rsidR="00636340">
        <w:t xml:space="preserve">ecific instructions </w:t>
      </w:r>
      <w:r w:rsidR="00050F13">
        <w:t xml:space="preserve">for the committee </w:t>
      </w:r>
      <w:r w:rsidR="00636340">
        <w:t xml:space="preserve">to utilize </w:t>
      </w:r>
      <w:r w:rsidR="00193A0A">
        <w:t>certain federal policies</w:t>
      </w:r>
      <w:r w:rsidR="00E32F74">
        <w:t xml:space="preserve"> or models</w:t>
      </w:r>
      <w:r w:rsidR="00ED3A1F">
        <w:t xml:space="preserve"> in reporting to the council</w:t>
      </w:r>
      <w:r w:rsidR="00477531">
        <w:t xml:space="preserve">. The committee should be allowed </w:t>
      </w:r>
      <w:r w:rsidR="00E7103C">
        <w:t xml:space="preserve">the freedom </w:t>
      </w:r>
      <w:r w:rsidR="00477531">
        <w:t xml:space="preserve">to use this or any other </w:t>
      </w:r>
      <w:r w:rsidR="00780E0E">
        <w:t>monitoring and reporting methods</w:t>
      </w:r>
      <w:r w:rsidR="008911AC">
        <w:t xml:space="preserve">. The Region IV </w:t>
      </w:r>
      <w:r w:rsidR="00F41AF2">
        <w:t>Bylaws allow such latitude as currently written.</w:t>
      </w:r>
      <w:r w:rsidR="00780E0E">
        <w:t xml:space="preserve"> </w:t>
      </w:r>
    </w:p>
    <w:p w14:paraId="3118624A" w14:textId="549A8DBF" w:rsidR="002A44E8" w:rsidRDefault="002A44E8" w:rsidP="002A44E8">
      <w:pPr>
        <w:pStyle w:val="ListParagraph"/>
        <w:numPr>
          <w:ilvl w:val="0"/>
          <w:numId w:val="2"/>
        </w:numPr>
      </w:pPr>
      <w:r>
        <w:t xml:space="preserve">The proposed amendment </w:t>
      </w:r>
      <w:r w:rsidR="001B7AC9">
        <w:t>gives</w:t>
      </w:r>
      <w:r>
        <w:t xml:space="preserve"> full attention to the federal employee but the organization includes state employees, local government employees and associate members. The bylaws should not </w:t>
      </w:r>
      <w:r w:rsidR="006D404E">
        <w:t xml:space="preserve">show </w:t>
      </w:r>
      <w:r>
        <w:t xml:space="preserve">disregard for nonfederal members and potential nonfederal members. </w:t>
      </w:r>
      <w:r w:rsidR="0073796A">
        <w:t>The bylaws</w:t>
      </w:r>
      <w:r w:rsidR="009D1DAB">
        <w:t xml:space="preserve"> as currently approved</w:t>
      </w:r>
      <w:r w:rsidR="000E7F8A">
        <w:t xml:space="preserve"> </w:t>
      </w:r>
      <w:r w:rsidR="003A4ACC">
        <w:t>represents</w:t>
      </w:r>
      <w:r w:rsidR="009F74A2">
        <w:t xml:space="preserve"> the interests of all Black government employees</w:t>
      </w:r>
      <w:r w:rsidR="00306396">
        <w:t xml:space="preserve"> without regard to </w:t>
      </w:r>
      <w:r w:rsidR="00EB1553">
        <w:t>federal, state or local employment.</w:t>
      </w:r>
      <w:r w:rsidR="009D1DAB">
        <w:t xml:space="preserve"> </w:t>
      </w:r>
    </w:p>
    <w:p w14:paraId="257C908D" w14:textId="77777777" w:rsidR="002A44E8" w:rsidRDefault="002A44E8" w:rsidP="003519D3"/>
    <w:p w14:paraId="755B5E33" w14:textId="67BB875F" w:rsidR="00E54162" w:rsidRDefault="00A30819" w:rsidP="003519D3">
      <w:r>
        <w:t xml:space="preserve"> </w:t>
      </w:r>
      <w:r w:rsidR="00DC5367">
        <w:t xml:space="preserve"> </w:t>
      </w:r>
      <w:r w:rsidR="00E54162">
        <w:t>____________________________________________________________________________________</w:t>
      </w:r>
    </w:p>
    <w:p w14:paraId="5CEC18A8" w14:textId="77777777" w:rsidR="00E54162" w:rsidRDefault="00E54162" w:rsidP="003519D3"/>
    <w:p w14:paraId="4C5D301E" w14:textId="77777777" w:rsidR="00E54162" w:rsidRDefault="00E54162" w:rsidP="003519D3"/>
    <w:p w14:paraId="43AEE04E" w14:textId="77777777" w:rsidR="003519D3" w:rsidRDefault="003519D3" w:rsidP="003519D3">
      <w:pPr>
        <w:jc w:val="center"/>
        <w:rPr>
          <w:b/>
          <w:bCs/>
        </w:rPr>
      </w:pPr>
      <w:r>
        <w:rPr>
          <w:b/>
          <w:bCs/>
        </w:rPr>
        <w:t xml:space="preserve">Region IV Bylaws Committee Recommendation Regarding Proposed Amendment of </w:t>
      </w:r>
    </w:p>
    <w:p w14:paraId="3B61126D" w14:textId="50406ED8" w:rsidR="003519D3" w:rsidRDefault="0078591B" w:rsidP="0078591B">
      <w:pPr>
        <w:jc w:val="center"/>
        <w:rPr>
          <w:b/>
          <w:bCs/>
        </w:rPr>
      </w:pPr>
      <w:r w:rsidRPr="0078591B">
        <w:rPr>
          <w:b/>
          <w:bCs/>
        </w:rPr>
        <w:t>Article X, Section 2</w:t>
      </w:r>
    </w:p>
    <w:p w14:paraId="42AF8E3E" w14:textId="0B5478BB" w:rsidR="0078591B" w:rsidRDefault="00B765CE" w:rsidP="0078591B">
      <w:pPr>
        <w:jc w:val="center"/>
        <w:rPr>
          <w:b/>
          <w:bCs/>
        </w:rPr>
      </w:pPr>
      <w:r>
        <w:rPr>
          <w:b/>
          <w:bCs/>
        </w:rPr>
        <w:t>(Recommendation</w:t>
      </w:r>
      <w:r w:rsidR="00607510">
        <w:rPr>
          <w:b/>
          <w:bCs/>
        </w:rPr>
        <w:t xml:space="preserve">: Bylaws </w:t>
      </w:r>
      <w:r w:rsidR="0078591B">
        <w:rPr>
          <w:b/>
          <w:bCs/>
        </w:rPr>
        <w:t>Remain Unchanged)</w:t>
      </w:r>
    </w:p>
    <w:p w14:paraId="56EA3B23" w14:textId="0CB17703" w:rsidR="0078591B" w:rsidRPr="0078591B" w:rsidRDefault="0078591B" w:rsidP="0078591B">
      <w:r w:rsidRPr="0078591B">
        <w:t xml:space="preserve">The </w:t>
      </w:r>
      <w:r>
        <w:t>previously considered proposed amendment of Article XII, Section 2 clearly and correctly identif</w:t>
      </w:r>
      <w:r w:rsidR="00E54162">
        <w:t>ied</w:t>
      </w:r>
      <w:r>
        <w:t xml:space="preserve"> </w:t>
      </w:r>
      <w:r w:rsidR="005E1A94">
        <w:t>the</w:t>
      </w:r>
      <w:r>
        <w:t xml:space="preserve"> troubling fact th</w:t>
      </w:r>
      <w:r w:rsidR="00E54162">
        <w:t>at</w:t>
      </w:r>
      <w:r>
        <w:t xml:space="preserve"> chapter numbers in Region IV are </w:t>
      </w:r>
      <w:r w:rsidR="00770601">
        <w:t>decreasing</w:t>
      </w:r>
      <w:r>
        <w:t xml:space="preserve"> and this is </w:t>
      </w:r>
      <w:r w:rsidR="00F55D36">
        <w:t>a critical concern</w:t>
      </w:r>
      <w:r>
        <w:t xml:space="preserve"> of the council.</w:t>
      </w:r>
      <w:r w:rsidR="00E54162">
        <w:t xml:space="preserve"> However, adding </w:t>
      </w:r>
      <w:r w:rsidR="00D31B5F">
        <w:t>penalties</w:t>
      </w:r>
      <w:r w:rsidR="00E54162">
        <w:t xml:space="preserve"> and threatening chapter officers does not </w:t>
      </w:r>
      <w:r w:rsidR="00B93544">
        <w:t>appear</w:t>
      </w:r>
      <w:r w:rsidR="00E54162">
        <w:t xml:space="preserve"> as a </w:t>
      </w:r>
      <w:r w:rsidR="007C42CD">
        <w:t xml:space="preserve">viable </w:t>
      </w:r>
      <w:r w:rsidR="00E54162">
        <w:t>means to promote inclusiveness and retention of troubled chapters.</w:t>
      </w:r>
    </w:p>
    <w:sectPr w:rsidR="0078591B" w:rsidRPr="007859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DD63" w14:textId="77777777" w:rsidR="004204C4" w:rsidRDefault="004204C4" w:rsidP="005879A9">
      <w:pPr>
        <w:spacing w:after="0" w:line="240" w:lineRule="auto"/>
      </w:pPr>
      <w:r>
        <w:separator/>
      </w:r>
    </w:p>
  </w:endnote>
  <w:endnote w:type="continuationSeparator" w:id="0">
    <w:p w14:paraId="7FCA5E98" w14:textId="77777777" w:rsidR="004204C4" w:rsidRDefault="004204C4" w:rsidP="0058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B89E" w14:textId="7F082928" w:rsidR="0035475F" w:rsidRDefault="007D7C4F" w:rsidP="00A105E1">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sidR="003B1298">
      <w:rPr>
        <w:b/>
        <w:bCs/>
        <w:noProof/>
      </w:rPr>
      <w:t>of 2</w:t>
    </w:r>
  </w:p>
  <w:p w14:paraId="3DF31520" w14:textId="77777777" w:rsidR="005879A9" w:rsidRDefault="00587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5378" w14:textId="77777777" w:rsidR="004204C4" w:rsidRDefault="004204C4" w:rsidP="005879A9">
      <w:pPr>
        <w:spacing w:after="0" w:line="240" w:lineRule="auto"/>
      </w:pPr>
      <w:r>
        <w:separator/>
      </w:r>
    </w:p>
  </w:footnote>
  <w:footnote w:type="continuationSeparator" w:id="0">
    <w:p w14:paraId="57EED3B7" w14:textId="77777777" w:rsidR="004204C4" w:rsidRDefault="004204C4" w:rsidP="00587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B908" w14:textId="076FE432" w:rsidR="005879A9" w:rsidRDefault="005879A9" w:rsidP="005879A9">
    <w:pPr>
      <w:jc w:val="center"/>
      <w:rPr>
        <w:b/>
        <w:bCs/>
        <w:sz w:val="32"/>
        <w:szCs w:val="32"/>
      </w:rPr>
    </w:pPr>
    <w:r>
      <w:rPr>
        <w:b/>
        <w:bCs/>
        <w:sz w:val="32"/>
        <w:szCs w:val="32"/>
      </w:rPr>
      <w:t>Region IV Blacks In Government</w:t>
    </w:r>
  </w:p>
  <w:p w14:paraId="78433D2C" w14:textId="77777777" w:rsidR="005879A9" w:rsidRDefault="005879A9" w:rsidP="005879A9">
    <w:pPr>
      <w:jc w:val="center"/>
      <w:rPr>
        <w:b/>
        <w:bCs/>
        <w:sz w:val="32"/>
        <w:szCs w:val="32"/>
      </w:rPr>
    </w:pPr>
    <w:r>
      <w:rPr>
        <w:b/>
        <w:bCs/>
        <w:sz w:val="32"/>
        <w:szCs w:val="32"/>
      </w:rPr>
      <w:t>2023 Spring Council Meeting</w:t>
    </w:r>
  </w:p>
  <w:p w14:paraId="0DB68A3C" w14:textId="54056E3B" w:rsidR="005879A9" w:rsidRPr="00C511C5" w:rsidRDefault="005879A9" w:rsidP="00C511C5">
    <w:pPr>
      <w:jc w:val="center"/>
      <w:rPr>
        <w:b/>
        <w:bCs/>
        <w:sz w:val="32"/>
        <w:szCs w:val="32"/>
      </w:rPr>
    </w:pPr>
    <w:r>
      <w:rPr>
        <w:b/>
        <w:bCs/>
        <w:sz w:val="32"/>
        <w:szCs w:val="32"/>
      </w:rPr>
      <w:t>Bylaws Committee Recommendations</w:t>
    </w:r>
  </w:p>
  <w:p w14:paraId="0B5B4BE0" w14:textId="77777777" w:rsidR="005879A9" w:rsidRDefault="00587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CE2"/>
    <w:multiLevelType w:val="hybridMultilevel"/>
    <w:tmpl w:val="1200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92EC0"/>
    <w:multiLevelType w:val="hybridMultilevel"/>
    <w:tmpl w:val="73BA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C16B5"/>
    <w:multiLevelType w:val="hybridMultilevel"/>
    <w:tmpl w:val="38D6B9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47866671">
    <w:abstractNumId w:val="1"/>
  </w:num>
  <w:num w:numId="2" w16cid:durableId="1609435824">
    <w:abstractNumId w:val="0"/>
  </w:num>
  <w:num w:numId="3" w16cid:durableId="993727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F9"/>
    <w:rsid w:val="0003436D"/>
    <w:rsid w:val="00050F13"/>
    <w:rsid w:val="000525C5"/>
    <w:rsid w:val="000B4B13"/>
    <w:rsid w:val="000D1573"/>
    <w:rsid w:val="000E7F8A"/>
    <w:rsid w:val="000F1884"/>
    <w:rsid w:val="00167C15"/>
    <w:rsid w:val="00193A0A"/>
    <w:rsid w:val="001B7AC9"/>
    <w:rsid w:val="001E0270"/>
    <w:rsid w:val="001F5547"/>
    <w:rsid w:val="00247F59"/>
    <w:rsid w:val="00272876"/>
    <w:rsid w:val="002915EE"/>
    <w:rsid w:val="002A44E8"/>
    <w:rsid w:val="002E1908"/>
    <w:rsid w:val="002E3217"/>
    <w:rsid w:val="002E3CE5"/>
    <w:rsid w:val="00306396"/>
    <w:rsid w:val="00310027"/>
    <w:rsid w:val="00311260"/>
    <w:rsid w:val="0033513A"/>
    <w:rsid w:val="00343DCF"/>
    <w:rsid w:val="003519D3"/>
    <w:rsid w:val="0035475F"/>
    <w:rsid w:val="003711AF"/>
    <w:rsid w:val="00372640"/>
    <w:rsid w:val="003A4ACC"/>
    <w:rsid w:val="003B1298"/>
    <w:rsid w:val="003C7781"/>
    <w:rsid w:val="003E14A4"/>
    <w:rsid w:val="00411DD2"/>
    <w:rsid w:val="0041247C"/>
    <w:rsid w:val="004204C4"/>
    <w:rsid w:val="00456014"/>
    <w:rsid w:val="004755F4"/>
    <w:rsid w:val="00477531"/>
    <w:rsid w:val="004802CC"/>
    <w:rsid w:val="004C4CA2"/>
    <w:rsid w:val="004F7DFD"/>
    <w:rsid w:val="00504D99"/>
    <w:rsid w:val="00524A4A"/>
    <w:rsid w:val="00553EAA"/>
    <w:rsid w:val="0058200D"/>
    <w:rsid w:val="005879A9"/>
    <w:rsid w:val="005E1A94"/>
    <w:rsid w:val="00607510"/>
    <w:rsid w:val="00636340"/>
    <w:rsid w:val="006912E5"/>
    <w:rsid w:val="006A55A1"/>
    <w:rsid w:val="006B1CE3"/>
    <w:rsid w:val="006D404E"/>
    <w:rsid w:val="006D5D73"/>
    <w:rsid w:val="00722BF9"/>
    <w:rsid w:val="0073796A"/>
    <w:rsid w:val="00770601"/>
    <w:rsid w:val="00772B97"/>
    <w:rsid w:val="00780E0E"/>
    <w:rsid w:val="0078591B"/>
    <w:rsid w:val="007C42CD"/>
    <w:rsid w:val="007C733E"/>
    <w:rsid w:val="007D7C4F"/>
    <w:rsid w:val="0081558A"/>
    <w:rsid w:val="00832485"/>
    <w:rsid w:val="008531D5"/>
    <w:rsid w:val="0086062A"/>
    <w:rsid w:val="00870560"/>
    <w:rsid w:val="00870631"/>
    <w:rsid w:val="008776E5"/>
    <w:rsid w:val="00882FCA"/>
    <w:rsid w:val="008911AC"/>
    <w:rsid w:val="0089450C"/>
    <w:rsid w:val="008C00B0"/>
    <w:rsid w:val="008F4006"/>
    <w:rsid w:val="009403D8"/>
    <w:rsid w:val="00957269"/>
    <w:rsid w:val="009A07DE"/>
    <w:rsid w:val="009A2DB4"/>
    <w:rsid w:val="009A33C7"/>
    <w:rsid w:val="009D1DAB"/>
    <w:rsid w:val="009D30E7"/>
    <w:rsid w:val="009F74A2"/>
    <w:rsid w:val="00A105E1"/>
    <w:rsid w:val="00A30819"/>
    <w:rsid w:val="00A837F1"/>
    <w:rsid w:val="00A9704F"/>
    <w:rsid w:val="00AB3736"/>
    <w:rsid w:val="00B26754"/>
    <w:rsid w:val="00B32C43"/>
    <w:rsid w:val="00B4589F"/>
    <w:rsid w:val="00B50341"/>
    <w:rsid w:val="00B765CE"/>
    <w:rsid w:val="00B93544"/>
    <w:rsid w:val="00BB028D"/>
    <w:rsid w:val="00BC120B"/>
    <w:rsid w:val="00C05367"/>
    <w:rsid w:val="00C2141F"/>
    <w:rsid w:val="00C259A3"/>
    <w:rsid w:val="00C511C5"/>
    <w:rsid w:val="00C53DD2"/>
    <w:rsid w:val="00D134B3"/>
    <w:rsid w:val="00D2292D"/>
    <w:rsid w:val="00D26646"/>
    <w:rsid w:val="00D31B5F"/>
    <w:rsid w:val="00D31E1D"/>
    <w:rsid w:val="00D76471"/>
    <w:rsid w:val="00DC5367"/>
    <w:rsid w:val="00DD6C60"/>
    <w:rsid w:val="00E2632D"/>
    <w:rsid w:val="00E32F74"/>
    <w:rsid w:val="00E54162"/>
    <w:rsid w:val="00E7103C"/>
    <w:rsid w:val="00E93E89"/>
    <w:rsid w:val="00EB1553"/>
    <w:rsid w:val="00EC1C51"/>
    <w:rsid w:val="00ED3A1F"/>
    <w:rsid w:val="00F41AF2"/>
    <w:rsid w:val="00F55D36"/>
    <w:rsid w:val="00FB6FDF"/>
    <w:rsid w:val="00FD6578"/>
    <w:rsid w:val="00FE0CE2"/>
    <w:rsid w:val="00FF1A96"/>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CB8D8"/>
  <w15:chartTrackingRefBased/>
  <w15:docId w15:val="{70CBD3CB-6539-461A-9BAD-BFA5C303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9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F4"/>
    <w:pPr>
      <w:ind w:left="720"/>
      <w:contextualSpacing/>
    </w:pPr>
  </w:style>
  <w:style w:type="paragraph" w:styleId="Header">
    <w:name w:val="header"/>
    <w:basedOn w:val="Normal"/>
    <w:link w:val="HeaderChar"/>
    <w:uiPriority w:val="99"/>
    <w:unhideWhenUsed/>
    <w:rsid w:val="00587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A9"/>
  </w:style>
  <w:style w:type="paragraph" w:styleId="Footer">
    <w:name w:val="footer"/>
    <w:basedOn w:val="Normal"/>
    <w:link w:val="FooterChar"/>
    <w:uiPriority w:val="99"/>
    <w:unhideWhenUsed/>
    <w:rsid w:val="00587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649">
      <w:bodyDiv w:val="1"/>
      <w:marLeft w:val="0"/>
      <w:marRight w:val="0"/>
      <w:marTop w:val="0"/>
      <w:marBottom w:val="0"/>
      <w:divBdr>
        <w:top w:val="none" w:sz="0" w:space="0" w:color="auto"/>
        <w:left w:val="none" w:sz="0" w:space="0" w:color="auto"/>
        <w:bottom w:val="none" w:sz="0" w:space="0" w:color="auto"/>
        <w:right w:val="none" w:sz="0" w:space="0" w:color="auto"/>
      </w:divBdr>
    </w:div>
    <w:div w:id="361177052">
      <w:bodyDiv w:val="1"/>
      <w:marLeft w:val="0"/>
      <w:marRight w:val="0"/>
      <w:marTop w:val="0"/>
      <w:marBottom w:val="0"/>
      <w:divBdr>
        <w:top w:val="none" w:sz="0" w:space="0" w:color="auto"/>
        <w:left w:val="none" w:sz="0" w:space="0" w:color="auto"/>
        <w:bottom w:val="none" w:sz="0" w:space="0" w:color="auto"/>
        <w:right w:val="none" w:sz="0" w:space="0" w:color="auto"/>
      </w:divBdr>
    </w:div>
    <w:div w:id="560560111">
      <w:bodyDiv w:val="1"/>
      <w:marLeft w:val="0"/>
      <w:marRight w:val="0"/>
      <w:marTop w:val="0"/>
      <w:marBottom w:val="0"/>
      <w:divBdr>
        <w:top w:val="none" w:sz="0" w:space="0" w:color="auto"/>
        <w:left w:val="none" w:sz="0" w:space="0" w:color="auto"/>
        <w:bottom w:val="none" w:sz="0" w:space="0" w:color="auto"/>
        <w:right w:val="none" w:sz="0" w:space="0" w:color="auto"/>
      </w:divBdr>
    </w:div>
    <w:div w:id="1265307883">
      <w:bodyDiv w:val="1"/>
      <w:marLeft w:val="0"/>
      <w:marRight w:val="0"/>
      <w:marTop w:val="0"/>
      <w:marBottom w:val="0"/>
      <w:divBdr>
        <w:top w:val="none" w:sz="0" w:space="0" w:color="auto"/>
        <w:left w:val="none" w:sz="0" w:space="0" w:color="auto"/>
        <w:bottom w:val="none" w:sz="0" w:space="0" w:color="auto"/>
        <w:right w:val="none" w:sz="0" w:space="0" w:color="auto"/>
      </w:divBdr>
    </w:div>
    <w:div w:id="1283029232">
      <w:bodyDiv w:val="1"/>
      <w:marLeft w:val="0"/>
      <w:marRight w:val="0"/>
      <w:marTop w:val="0"/>
      <w:marBottom w:val="0"/>
      <w:divBdr>
        <w:top w:val="none" w:sz="0" w:space="0" w:color="auto"/>
        <w:left w:val="none" w:sz="0" w:space="0" w:color="auto"/>
        <w:bottom w:val="none" w:sz="0" w:space="0" w:color="auto"/>
        <w:right w:val="none" w:sz="0" w:space="0" w:color="auto"/>
      </w:divBdr>
    </w:div>
    <w:div w:id="1755933716">
      <w:bodyDiv w:val="1"/>
      <w:marLeft w:val="0"/>
      <w:marRight w:val="0"/>
      <w:marTop w:val="0"/>
      <w:marBottom w:val="0"/>
      <w:divBdr>
        <w:top w:val="none" w:sz="0" w:space="0" w:color="auto"/>
        <w:left w:val="none" w:sz="0" w:space="0" w:color="auto"/>
        <w:bottom w:val="none" w:sz="0" w:space="0" w:color="auto"/>
        <w:right w:val="none" w:sz="0" w:space="0" w:color="auto"/>
      </w:divBdr>
    </w:div>
    <w:div w:id="20141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Taylor</dc:creator>
  <cp:keywords/>
  <dc:description/>
  <cp:lastModifiedBy>Alphonse Taylor</cp:lastModifiedBy>
  <cp:revision>103</cp:revision>
  <cp:lastPrinted>2023-05-06T14:58:00Z</cp:lastPrinted>
  <dcterms:created xsi:type="dcterms:W3CDTF">2023-05-04T22:39:00Z</dcterms:created>
  <dcterms:modified xsi:type="dcterms:W3CDTF">2023-05-15T13:36:00Z</dcterms:modified>
</cp:coreProperties>
</file>